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детская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04:24 МСК · База обновлена: 23.07.2026, 03:51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детская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клинику обратился пациент 15 лет с родителями.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боль, кровоточивость в области десны верхней и нижней челюстей;</w:t>
      </w:r>
    </w:p>
    <w:p>
      <w:pPr>
        <w:spacing w:after="58"/>
      </w:pPr>
      <w:r>
        <w:rPr>
          <w:b w:val="0"/>
          <w:i w:val="0"/>
        </w:rPr>
        <w:t>* подвижность зубов и оголение их корней;</w:t>
      </w:r>
    </w:p>
    <w:p>
      <w:pPr>
        <w:spacing w:after="58"/>
      </w:pPr>
      <w:r>
        <w:rPr>
          <w:b w:val="0"/>
          <w:i w:val="0"/>
        </w:rPr>
        <w:t>* неприятный запах изо рта.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 наблюдался у пародонтолога с 10 лет. За последний год отмечено резкое ухудшение состояния.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соответственно возрасту.</w:t>
      </w:r>
    </w:p>
    <w:p>
      <w:pPr>
        <w:spacing w:after="58"/>
      </w:pPr>
      <w:r>
        <w:rPr>
          <w:b w:val="0"/>
          <w:i w:val="0"/>
        </w:rPr>
        <w:t>* Перенесённые и сопутствующие заболевания: ОРВИ.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Внешний осмотр. Конфигурация лица не изменена, открывание рта свободное, регионарные лимфоузлы увеличены, безболезненны.</w:t>
        <w:br/>
        <w:t>Осмотр полости рта.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rPr>
          <w:tblHeader w:val="true"/>
        </w:trPr>
        <w:tc>
          <w:tcPr>
            <w:tcW w:type="dxa" w:w="675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1.7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5.2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|4.7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4.6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С</w:t>
            </w:r>
          </w:p>
        </w:tc>
        <w:tc>
          <w:tcPr>
            <w:tcW w:type="dxa" w:w="675"/>
          </w:tcPr>
          <w:p/>
        </w:tc>
      </w:tr>
      <w:tr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С|С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Состояние слизистой оболочки рта, дёсен, альвеолярных отростков и нёба: слизистая оболочка бледно-розового цвета, нормально увлажнена; десна в области всех зубов верхней и нижней челюстей, гиперемирована, отёчна. Выраженная рецессия десны и обнажение корней у 3.5, 3.6, 4.6 зубов.</w:t>
      </w:r>
    </w:p>
    <w:p>
      <w:pPr>
        <w:spacing w:after="58"/>
      </w:pPr>
      <w:r>
        <w:rPr>
          <w:b w:val="0"/>
          <w:i w:val="0"/>
        </w:rPr>
        <w:t>*Прикус:* постоянный</w:t>
      </w:r>
    </w:p>
    <w:p>
      <w:r>
        <w:drawing>
          <wp:inline xmlns:a="http://schemas.openxmlformats.org/drawingml/2006/main" xmlns:pic="http://schemas.openxmlformats.org/drawingml/2006/picture">
            <wp:extent cx="5303520" cy="3525157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629d473b1ffa9b3df2fefbd3db7da15b013197b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2515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зуева_42_27.02.19 рис. 1.jpg</w:t>
      </w:r>
    </w:p>
    <w:p>
      <w:r>
        <w:drawing>
          <wp:inline xmlns:a="http://schemas.openxmlformats.org/drawingml/2006/main" xmlns:pic="http://schemas.openxmlformats.org/drawingml/2006/picture">
            <wp:extent cx="5303520" cy="3454956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af0a1bf80fbc94963bb689e3d86df660688e4f4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45495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зуева_42_27.02.19 рис. 2.jpg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Клиническими методами обследования, необходимыми для постановки диагноза,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зондирование пародонтальных карманов пародонтальным зондом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кровоточивости десны при зондировании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витальное окрашивание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индекса КПУ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температурная проба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зондирование пародонтальных карманов пародонтальным зондом; 2 — определение кровоточивости десны при зондировании</w:t>
      </w:r>
    </w:p>
    <w:p>
      <w:pPr>
        <w:ind w:left="504"/>
      </w:pPr>
      <w:r>
        <w:rPr>
          <w:b w:val="0"/>
          <w:i/>
        </w:rPr>
        <w:t>При обследовании тканей пародонта обязательно зондирование пародонтальных карманов в области всех зубов.</w:t>
        <w:br/>
        <w:br/>
        <w:t>Измерения проводят специальным облегчённым пародонтальным зондом.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C.391, 392.</w:t>
        <w:br/>
        <w:br/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Для оценки состояния десны. При зондировании десневой борозды пародонтальным зондом возникает кровоточивость.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C.367, 397.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необходимому дополнительному методу обследования в данной клинической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электроодонтометрию (ЭОД)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количественную световую флуоресценцию (QLF)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биопсию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рентгенографию</w:t>
      </w:r>
    </w:p>
    <w:p>
      <w:pPr>
        <w:ind w:left="504"/>
      </w:pPr>
      <w:r>
        <w:rPr>
          <w:b w:val="0"/>
          <w:i/>
        </w:rPr>
        <w:t>Рентгенологическое исследование играет ведущую роль среди дополнительных методов исследования. В выявлении заболеваний пародонта возможно использование таких методов рентгенологической диагностики, как внутриротовые контактные снимки, ортопантомография.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C.400.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Основным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пародонтит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Хронический пародонтит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Пародонтоз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Эпулис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Хронический пародонтит</w:t>
      </w:r>
    </w:p>
    <w:p>
      <w:pPr>
        <w:ind w:left="504"/>
      </w:pPr>
      <w:r>
        <w:rPr>
          <w:b w:val="0"/>
          <w:i/>
        </w:rPr>
        <w:t>Диагноз поставлен на основании данных анамнеза, жалоб, клинических и дополнительны методов обследования.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C.370.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 клиническому течению поражение пародонта у данного пациента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атрофическому гингивиту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язвенному гингивиту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локализованному пародонтиту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агрессивному пародонтиту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агрессивному пародонтиту</w:t>
      </w:r>
    </w:p>
    <w:p>
      <w:pPr>
        <w:ind w:left="504"/>
      </w:pPr>
      <w:r>
        <w:rPr>
          <w:b w:val="0"/>
          <w:i/>
        </w:rPr>
        <w:t>Клинически для заболевания характерна быстропрогрессирующая деструкция. Иногда в течение нескольких месяцев или одного года происходит резорбция костной ткани на всю длину корней. Характерны частые обострения, малые сроки ремиссии, заболевание может иметь перманентное течение.</w:t>
        <w:br/>
        <w:br/>
        <w:t>В постановке диагноза агрессивного пародонтита необходимо опираться на следующие основные признаки: характерная клиническая картина, семейный анамнез заболевания, потеря прикрепления более 2 мм за 1 год или до наступления 18 лет, рентгенологически определяемая быстропрогрессирующая деструкция костной ткани в возрасте до 18 лет, выявление большого количества агрессивных пародонтопатогенных бактерий при проведении полимеразной цепной реакции диагностики, а также наличие дефектов системы врождённого иммунитета, особенно снижение фагоцитоза.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C.373, 374-375.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Клиническая картина хронического пародонтита у данного пациента соответствует +__________+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лёгкой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тяжёлой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начальной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средней</w:t>
      </w:r>
    </w:p>
    <w:p>
      <w:pPr>
        <w:ind w:left="504"/>
      </w:pPr>
      <w:r>
        <w:rPr>
          <w:b w:val="0"/>
          <w:i/>
        </w:rPr>
        <w:t>Тяжесть определяется по клинико-рентгенологической картине; основным ее критерием служит степень деструкции кости альвеолярных отростков. Лёгкая степень – пародонтальные карманы не более 4 мм; средней тяжести – карманы от 4 до 6 мм; тяжёлая – глубина карманов более 6 мм.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C.361.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Лечение агрессивного пародонтита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выравнивание поверхности корней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реминирализирующую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герметизацию фиссур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микроабразию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выравнивание поверхности корней зубов</w:t>
      </w:r>
    </w:p>
    <w:p>
      <w:pPr>
        <w:ind w:left="504"/>
      </w:pPr>
      <w:r>
        <w:rPr>
          <w:b w:val="0"/>
          <w:i/>
        </w:rPr>
        <w:t>Лечение агрессивного пародонтита включает тщательное удаление зубных отложений, выравнивание поверхности корней зубов, медикаментозную обработку полости рта растворами антисептиков.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C.413.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проведении системной антибактериальной терапии обязательным является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пробиотиков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адаптогенов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витаминов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кортикостероидов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пробиотиков</w:t>
      </w:r>
    </w:p>
    <w:p>
      <w:pPr>
        <w:ind w:left="504"/>
      </w:pPr>
      <w:r>
        <w:rPr>
          <w:b w:val="0"/>
          <w:i/>
        </w:rPr>
        <w:t>Параллельно с антибактериальной терапией назначают пробиотики.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C.414.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локальной антибактериальной терапии используют гели на основе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метронидазола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ретинола ацетата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натрия фторида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кальция глюконата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метронидазола</w:t>
      </w:r>
    </w:p>
    <w:p>
      <w:pPr>
        <w:ind w:left="504"/>
      </w:pPr>
      <w:r>
        <w:rPr>
          <w:b w:val="0"/>
          <w:i/>
        </w:rPr>
        <w:t>В глубоких пародонтальных карманах дополнительно можно применять локальную антибактериальную терапию. С этой целью можно использовать гели на основе метронидазола.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C.414.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локальной антибактериальной терапии гель с антибиотиком вносят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костный карман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пародонтальный карман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переходную складку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десневую борозду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пародонтальный карман</w:t>
      </w:r>
    </w:p>
    <w:p>
      <w:pPr>
        <w:ind w:left="504"/>
      </w:pPr>
      <w:r>
        <w:rPr>
          <w:b w:val="0"/>
          <w:i/>
        </w:rPr>
        <w:t>В глубоких пародонтальных карманах дополнительно можно применять локальную антибактериальную терапию.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C.414.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Профессиональную гигиену при пародонтите средней тяжести повторно проводят через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2-3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3-4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1-2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3-4 недели</w:t>
      </w:r>
    </w:p>
    <w:p>
      <w:pPr>
        <w:ind w:left="504"/>
      </w:pPr>
      <w:r>
        <w:rPr>
          <w:b w:val="0"/>
          <w:i/>
        </w:rPr>
        <w:t>При пародонтите средней и тяжёлой степени часто требуется повторение профессиональной гигиены через 3-4 недели.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C.415.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Хирургический метод лечения агрессивного пародонтита у подростков заключается в проведении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лоскутной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лазерного кюретажа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открытого кюретажа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гингивэктомии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лазерного кюретажа</w:t>
      </w:r>
    </w:p>
    <w:p>
      <w:pPr>
        <w:ind w:left="504"/>
      </w:pPr>
      <w:r>
        <w:rPr>
          <w:b w:val="0"/>
          <w:i/>
        </w:rPr>
        <w:t>У подростков предпочтение следует отдавать менее радикальным хирургическим вмешательствам. Лазерный кюретаж пародонтальных карманов служит хорошей альтернативой хирургическому лечению с откидыванием лоскутов, так как не приводит к усилению подвижности зубов и сильной рецессии десны.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C.417-418.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Поддерживающую терапию при агрессивном пародонтите проводят не реже _____ раз(а)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;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; месяц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 ;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;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 ; год</w:t>
      </w:r>
    </w:p>
    <w:p>
      <w:pPr>
        <w:ind w:left="504"/>
      </w:pPr>
      <w:r>
        <w:rPr>
          <w:b w:val="0"/>
          <w:i/>
        </w:rPr>
        <w:t>Ключевую роль в достижении успеха при лечении заболеваний пародонта, особенно агрессивной природы, отводят поддерживающей терапии. Периодичность поддерживающей терапии индивидуальна (при хроническом пародонтите не реже 2 раз в год, при агрессивном пародонтите и синдромных поражениях пародонта – не реже 4 раз в год).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C.420.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детская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с ребёнком 7 лет обратились в клинику детской стоматологии.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разрушение зуба 3.6,</w:t>
      </w:r>
    </w:p>
    <w:p>
      <w:pPr>
        <w:spacing w:after="58"/>
      </w:pPr>
      <w:r>
        <w:rPr>
          <w:b w:val="0"/>
          <w:i w:val="0"/>
        </w:rPr>
        <w:t>* дискомфорт при приёме пищи.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Разрушение зуба заметили 2 недели назад, когда ребёнок начал жаловаться на дискомфорт при приёме пищи.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соответственно возрасту.</w:t>
      </w:r>
    </w:p>
    <w:p>
      <w:pPr>
        <w:spacing w:after="58"/>
      </w:pPr>
      <w:r>
        <w:rPr>
          <w:b w:val="0"/>
          <w:i w:val="0"/>
        </w:rPr>
        <w:t>* Перенесённые заболевания: ОРВИ.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открывание рта свободное, региональные лимфоузлы не увеличены, безболезненны.</w:t>
      </w:r>
    </w:p>
    <w:p>
      <w:pPr>
        <w:spacing w:after="58"/>
      </w:pPr>
      <w:r>
        <w:rPr>
          <w:b w:val="0"/>
          <w:i w:val="0"/>
        </w:rPr>
        <w:t>*Осмотр полости рта:*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>
        <w:trPr>
          <w:tblHeader w:val="true"/>
        </w:trPr>
        <w:tc>
          <w:tcPr>
            <w:tcW w:type="dxa" w:w="920"/>
          </w:tcPr>
          <w:p>
            <w:r>
              <w:rPr>
                <w:b/>
                <w:i w:val="0"/>
              </w:rPr>
              <w:t>|</w:t>
              <w:tab/>
              <w:t>С</w:t>
            </w:r>
          </w:p>
        </w:tc>
        <w:tc>
          <w:tcPr>
            <w:tcW w:type="dxa" w:w="920"/>
          </w:tcPr>
          <w:p>
            <w:r>
              <w:rPr>
                <w:b/>
                <w:i w:val="0"/>
              </w:rPr>
              <w:t>П|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/>
                <w:i w:val="0"/>
              </w:rPr>
              <w:t>П/С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/>
                <w:i w:val="0"/>
              </w:rPr>
              <w:t>|</w:t>
            </w:r>
          </w:p>
        </w:tc>
      </w:tr>
      <w:tr>
        <w:tc>
          <w:tcPr>
            <w:tcW w:type="dxa" w:w="920"/>
          </w:tcPr>
          <w:p>
            <w:r>
              <w:rPr>
                <w:b w:val="0"/>
                <w:i w:val="0"/>
              </w:rPr>
              <w:t>1.6|5.5|5.4|5.3|5.2|5.1|6.1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6.2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6.3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6.4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6.5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2.6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4.6|8.5|8.4|8.3|8.2|4.1|3.1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7.2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7.3</w:t>
            </w:r>
          </w:p>
        </w:tc>
      </w:tr>
      <w:tr>
        <w:tc>
          <w:tcPr>
            <w:tcW w:type="dxa" w:w="920"/>
          </w:tcPr>
          <w:p>
            <w:r>
              <w:rPr>
                <w:b w:val="0"/>
                <w:i w:val="0"/>
              </w:rPr>
              <w:t>7.4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7.5|3.6|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П</w:t>
            </w:r>
          </w:p>
        </w:tc>
      </w:tr>
      <w:tr>
        <w:tc>
          <w:tcPr>
            <w:tcW w:type="dxa" w:w="920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?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{nbsp}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Состояние слизистой оболочки рта, десны, альвеолярных отростков и нёба: слизистая оболочка бледно-розовая, нормально увлажнена.</w:t>
      </w:r>
    </w:p>
    <w:p>
      <w:pPr>
        <w:spacing w:after="58"/>
      </w:pPr>
      <w:r>
        <w:rPr>
          <w:b w:val="0"/>
          <w:i w:val="0"/>
        </w:rPr>
        <w:t>*Прикус:* сменный.</w:t>
      </w:r>
    </w:p>
    <w:p>
      <w:pPr>
        <w:spacing w:after="58"/>
      </w:pPr>
      <w:r>
        <w:rPr>
          <w:b w:val="0"/>
          <w:i w:val="0"/>
        </w:rPr>
        <w:t>*Локальный статус:* зуб 3.6.</w:t>
      </w:r>
    </w:p>
    <w:p>
      <w:r>
        <w:drawing>
          <wp:inline xmlns:a="http://schemas.openxmlformats.org/drawingml/2006/main" xmlns:pic="http://schemas.openxmlformats.org/drawingml/2006/picture">
            <wp:extent cx="5303520" cy="6843252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ac833a889169581bfd20d92305d178de896a235.jp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68432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 32_30.01.2019 рис 1.jpg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клиническим методам обследования, необходимым для постановки диагноза,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витальное окрашивание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перкуссия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с помощью стоматологического зонда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пальпация регионарных лимфатических 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индекса PMA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перкуссия; 3 — исследование с помощью стоматологического зонда</w:t>
      </w:r>
    </w:p>
    <w:p>
      <w:pPr>
        <w:ind w:left="504"/>
      </w:pPr>
      <w:r>
        <w:rPr>
          <w:b w:val="0"/>
          <w:i/>
        </w:rPr>
        <w:t>При хроническом пульпите перкуссия безболезненная.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 240.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Зондирование стенок и дна кариозной полости проводят после полноценного обезболивания, так как возникновение болевого приступа может нарушить психологический контакт с ребёнком и дальнейшие манипуляции становятся невозможными.</w:t>
        <w:br/>
        <w:br/>
        <w:t>Необходимо учитывать внешний вид пульпы: она может быть розовой, ярко гиперемированной, кровоточащей при зондировании.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 242, 243.</w:t>
        <w:br/>
        <w:br/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Дополнительным методом обследования, необходимым для постановки диагноза,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реопародонтография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витальное окрашивание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количественная световая флуоресценция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рентгенография</w:t>
      </w:r>
    </w:p>
    <w:p>
      <w:pPr>
        <w:ind w:left="504"/>
      </w:pPr>
      <w:r>
        <w:rPr>
          <w:b w:val="0"/>
          <w:i/>
        </w:rPr>
        <w:t>Для оценки наличия сообщения между кариозной полостью и полостью зуба, оценки степении сформированности корня и состояния периапикальных тканей.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С.243.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Корень зуба 3.6 в 7 лет соответствует стадии +_____________+ корня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сформированного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физиологической резорбции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незакрытой верхушки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несформированного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несформированного</w:t>
      </w:r>
    </w:p>
    <w:p>
      <w:pPr>
        <w:ind w:left="504"/>
      </w:pPr>
      <w:r>
        <w:rPr>
          <w:b w:val="0"/>
          <w:i/>
        </w:rPr>
        <w:t>Окончание формирования корней первых постоянных моляров происходит в возрасте 9-10 лет.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С.23.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рентгенограмме зуба 3.6 выявлено: +_____________+ сообщения кариозной полости с полостью зуба, корни +______________+, в периапикальных тканях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отсутствие; с патологической резорбцией; очаги разрежения костной ткани без чётких контуров диаметром 7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отсутствие; сформированы; патологических изменений нет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наличие; сформированы; очаги разрежения костной ткани без чётких контуров диаметром 5 мм и очаг разрежения костной ткани в области бифуркации корней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наличие; не сформированы; патологических изменений нет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наличие; не сформированы; патологических изменений нет</w:t>
      </w:r>
    </w:p>
    <w:p>
      <w:pPr>
        <w:ind w:left="504"/>
      </w:pPr>
      <w:r>
        <w:rPr>
          <w:b w:val="0"/>
          <w:i/>
        </w:rPr>
        <w:t>Самый распространенный дополнительный метод обследования – рентгенологическая диагностика, которая чаще всего является решающей для установления диагноза.</w:t>
        <w:br/>
        <w:br/>
        <w:t>При хронических формах пульпита нет рентгенологических изменений в периапикальных тканях.</w:t>
        <w:br/>
        <w:br/>
        <w:t>Детская стоматология: учебник/ под ред. О.О. Янушевича, Л.П. Кисельниковой, О.З. Топольницкого. – М.: ГЭОТАР-Медиа, 2017. С.263, 265.</w:t>
        <w:br/>
        <w:br/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Основным диагнозом зуба 3.6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Периапикальный абсцесс без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Пульпит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Кариес дентина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Хронический апикальный периодонтит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Пульпит</w:t>
      </w:r>
    </w:p>
    <w:p>
      <w:pPr>
        <w:ind w:left="504"/>
      </w:pPr>
      <w:r>
        <w:rPr>
          <w:b w:val="0"/>
          <w:i/>
        </w:rPr>
        <w:t>Диагноз поставлен на основании клинических данных, данных рентгенографии.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С.240-243.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Метод лечения зуба 3.6 у данного пациента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многоэтапном эндодонтическом лечении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удалении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резекции верхушки корня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витальной ампутации 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витальной ампутации пульпы</w:t>
      </w:r>
    </w:p>
    <w:p>
      <w:pPr>
        <w:ind w:left="504"/>
      </w:pPr>
      <w:r>
        <w:rPr>
          <w:b w:val="0"/>
          <w:i/>
        </w:rPr>
        <w:t>Применяют в постоянных зубах с несформированными корнями при остром очаговом пульпите, фиброзной форме хронического пульпита без выраженных изменений в тканях периодонта.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С.270.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Метод витальной ампутации пульпы подразумевает удаление коронковой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устьевой пульпы после её некротизации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устьевой пульпы под анестезией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корневой пульпы под анестезией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корневой пульпы после её некротизации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устьевой пульпы под анестезией</w:t>
      </w:r>
    </w:p>
    <w:p>
      <w:pPr>
        <w:ind w:left="504"/>
      </w:pPr>
      <w:r>
        <w:rPr>
          <w:b w:val="0"/>
          <w:i/>
        </w:rPr>
        <w:t>Методика проведения:</w:t>
        <w:br/>
        <w:br/>
        <w:t>* проводят анестезию,</w:t>
        <w:br/>
        <w:br/>
        <w:t>* препарируют кариозную полость,</w:t>
        <w:br/>
        <w:br/>
        <w:t>* широко раскрывают полость зуба,</w:t>
        <w:br/>
        <w:br/>
        <w:t>* проводят пульпотомию с удалением устьевой пульпы.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С.270.</w:t>
        <w:br/>
        <w:br/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детей наиболее предпочтительными к применению являются анестетики на основе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бензокаина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артикаина с вазоконстриктором 1:200 000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лидокаина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артикаина с вазоконстриктором 1:100 000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артикаина с вазоконстриктором 1:200 000</w:t>
      </w:r>
    </w:p>
    <w:p>
      <w:pPr>
        <w:ind w:left="504"/>
      </w:pPr>
      <w:r>
        <w:rPr>
          <w:b w:val="0"/>
          <w:i/>
        </w:rPr>
        <w:t>Артикаин является одним из наиболее активных и наименее токсичных местноанестезирующих препаратов. Но, ввиду того, что он вызывает расширение сосудов, чаще применяется в сочетании с вазоконстриктором (эпинефрин) в растворе до 1:200000 и даже до 1:400000.</w:t>
        <w:br/>
        <w:br/>
        <w:t>При проведении обычных амбулаторных стоматологических вмешательств у детей преимущественно используются местноанестезирующие растворы с концентрацией эпинефрина (адреналина) 1:200 000.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С.102, 111.</w:t>
        <w:br/>
        <w:br/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покрытия корневой пульпы при витальной ампутации в постоянных зубах используют лечебные препараты, содержащие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формокрезол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гидроокись 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параформальдегид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резорцин-формалин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гидроокись кальция</w:t>
      </w:r>
    </w:p>
    <w:p>
      <w:pPr>
        <w:ind w:left="504"/>
      </w:pPr>
      <w:r>
        <w:rPr>
          <w:b w:val="0"/>
          <w:i/>
        </w:rPr>
        <w:t>Покрывают корневую пульпу лечебным препаратом, содержащим гидроокись кальция или МТА.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С.247.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покрытия корневой пульпы при витальной ампутации в постоянных зубах используют лечебные препараты, содержащие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глютаральдегид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параформальдегид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минеральный триоксиагрегат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гипохлорит натрия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минеральный триоксиагрегат</w:t>
      </w:r>
    </w:p>
    <w:p>
      <w:pPr>
        <w:ind w:left="504"/>
      </w:pPr>
      <w:r>
        <w:rPr>
          <w:b w:val="0"/>
          <w:i/>
        </w:rPr>
        <w:t>Покрывают корневую пульпу лечебным препаратом, содержащим гидроокись кальция или МТА.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С.247.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изолирующей прокладки при лечении постоянных зубов методом витальной ампутации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композитный материал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резорцин-формалиновую пасту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амальгаму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стеклоиономерный цемент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стеклоиономерный цемент</w:t>
      </w:r>
    </w:p>
    <w:p>
      <w:pPr>
        <w:ind w:left="504"/>
      </w:pPr>
      <w:r>
        <w:rPr>
          <w:b w:val="0"/>
          <w:i/>
        </w:rPr>
        <w:t>Накладывают изолирующую прокладку или временную пломбу при отсроченном пломбировании (СИЦ).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С.271.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Признаком успешного лечения зуба 3.6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прекращение формирования корня зуба и окружающих тканей периодонта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снижение электрочувствительности пульпы до значений выше 100 мкА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образование очага внутриканальной резорбции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образование дентинного мостика над раневой поверхностью 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образование дентинного мостика над раневой поверхностью пульпы</w:t>
      </w:r>
    </w:p>
    <w:p>
      <w:pPr>
        <w:ind w:left="504"/>
      </w:pPr>
      <w:r>
        <w:rPr>
          <w:b w:val="0"/>
          <w:i/>
        </w:rPr>
        <w:t>Основными критериями успешного лечения являются: высока чувствительность пульпы – 2-6 мкА, образование дентинного мостика над раневой поверхностью пульпы, продолжение формирования корня и окружающих тканей периодонта.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С.272.</w:t>
        <w:br/>
        <w:br/>
      </w:r>
      <w:hyperlink r:id="rId52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3256115"/>
            <wp:docPr id="33" name="Picture 3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b047bbb955f527ff3350a4a0f48c35004efd9b6.jpg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5611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 32_30.01.2019 рис 3.jpg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детская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jp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53186/?anchor=paragraph_j1v08s#paragraph_j1v08s" TargetMode="External"/><Relationship Id="rId24" Type="http://schemas.openxmlformats.org/officeDocument/2006/relationships/hyperlink" Target="https://library.mededtech.ru/rest/documents/ISBN9785970453186/?anchor=paragraph_mi6nr5#paragraph_mi6nr5" TargetMode="External"/><Relationship Id="rId25" Type="http://schemas.openxmlformats.org/officeDocument/2006/relationships/hyperlink" Target="https://library.mededtech.ru/rest/documents/ISBN9785970453186/?anchor=paragraph_r6u0r2#paragraph_r6u0r2" TargetMode="External"/><Relationship Id="rId26" Type="http://schemas.openxmlformats.org/officeDocument/2006/relationships/image" Target="media/image8.png"/><Relationship Id="rId27" Type="http://schemas.openxmlformats.org/officeDocument/2006/relationships/hyperlink" Target="https://library.mededtech.ru/rest/documents/ISBN9785970453186/?anchor=paragraph_11pg24#paragraph_11pg24" TargetMode="External"/><Relationship Id="rId28" Type="http://schemas.openxmlformats.org/officeDocument/2006/relationships/hyperlink" Target="https://library.mededtech.ru/rest/documents/ISBN9785970453186/?anchor=9_8_&#1040;&#1043;&#1056;&#1045;&#1057;&#1057;&#1048;&#1042;&#1053;&#1067;&#1049;_&#1055;&#1040;&#1056;&#1054;&#1044;&#1054;&#1053;&#1058;&#1048;&#1058;#9_8_&#1040;&#1043;&#1056;&#1045;&#1057;&#1057;&#1048;&#1042;&#1053;&#1067;&#1049;_&#1055;&#1040;&#1056;&#1054;&#1044;&#1054;&#1053;&#1058;&#1048;&#1058;" TargetMode="External"/><Relationship Id="rId29" Type="http://schemas.openxmlformats.org/officeDocument/2006/relationships/image" Target="media/image9.png"/><Relationship Id="rId30" Type="http://schemas.openxmlformats.org/officeDocument/2006/relationships/hyperlink" Target="https://library.mededtech.ru/rest/documents/ISBN9785970453186/?anchor=paragraph_9o4ime#paragraph_9o4ime" TargetMode="External"/><Relationship Id="rId31" Type="http://schemas.openxmlformats.org/officeDocument/2006/relationships/hyperlink" Target="https://library.mededtech.ru/rest/documents/ISBN9785970453186/?anchor=paragraph_9vhat2#paragraph_9vhat2" TargetMode="External"/><Relationship Id="rId32" Type="http://schemas.openxmlformats.org/officeDocument/2006/relationships/hyperlink" Target="https://library.mededtech.ru/rest/documents/ISBN9785970453186/?anchor=paragraph_u3s169#paragraph_u3s169" TargetMode="External"/><Relationship Id="rId33" Type="http://schemas.openxmlformats.org/officeDocument/2006/relationships/hyperlink" Target="https://library.mededtech.ru/rest/documents/ISBN9785970453186/?anchor=paragraph_5b7iqu#paragraph_5b7iqu" TargetMode="External"/><Relationship Id="rId34" Type="http://schemas.openxmlformats.org/officeDocument/2006/relationships/hyperlink" Target="https://library.mededtech.ru/rest/documents/ISBN9785970453186/?anchor=paragraph_3g6dq0#paragraph_3g6dq0" TargetMode="External"/><Relationship Id="rId35" Type="http://schemas.openxmlformats.org/officeDocument/2006/relationships/hyperlink" Target="https://library.mededtech.ru/rest/documents/ISBN9785970453186/?anchor=paragraph_rmm2pu#paragraph_rmm2pu" TargetMode="External"/><Relationship Id="rId36" Type="http://schemas.openxmlformats.org/officeDocument/2006/relationships/hyperlink" Target="https://library.mededtech.ru/rest/documents/ISBN9785970453186/?anchor=paragraph_ttst9c#paragraph_ttst9c" TargetMode="External"/><Relationship Id="rId37" Type="http://schemas.openxmlformats.org/officeDocument/2006/relationships/image" Target="media/image10.jpg"/><Relationship Id="rId38" Type="http://schemas.openxmlformats.org/officeDocument/2006/relationships/hyperlink" Target="https://library.mededtech.ru/rest/documents/ISBN9785970453186/?anchor=paragraph_dukp21#paragraph_dukp21" TargetMode="External"/><Relationship Id="rId39" Type="http://schemas.openxmlformats.org/officeDocument/2006/relationships/hyperlink" Target="https://library.mededtech.ru/rest/documents/ISBN9785970453186/?anchor=paragraph_tginu1#paragraph_tginu1" TargetMode="External"/><Relationship Id="rId40" Type="http://schemas.openxmlformats.org/officeDocument/2006/relationships/hyperlink" Target="https://library.mededtech.ru/rest/documents/ISBN9785970453186/?anchor=paragraph_2mcgtd#paragraph_2mcgtd" TargetMode="External"/><Relationship Id="rId41" Type="http://schemas.openxmlformats.org/officeDocument/2006/relationships/hyperlink" Target="https://library.mededtech.ru/rest/documents/ISBN9785970453186/?anchor=paragraph_u11nc7#paragraph_u11nc7" TargetMode="External"/><Relationship Id="rId42" Type="http://schemas.openxmlformats.org/officeDocument/2006/relationships/hyperlink" Target="https://library.mededtech.ru/rest/documents/ISBN9785970453186/?anchor=table1-1#table1-1" TargetMode="External"/><Relationship Id="rId43" Type="http://schemas.openxmlformats.org/officeDocument/2006/relationships/hyperlink" Target="https://library.mededtech.ru/rest/documents/ISBN9785970453186/?anchor=paragraph_5kdbf0#paragraph_5kdbf0" TargetMode="External"/><Relationship Id="rId44" Type="http://schemas.openxmlformats.org/officeDocument/2006/relationships/hyperlink" Target="https://library.mededtech.ru/rest/documents/ISBN9785970453186/?anchor=paragraph_v1d2vl#paragraph_v1d2vl" TargetMode="External"/><Relationship Id="rId45" Type="http://schemas.openxmlformats.org/officeDocument/2006/relationships/hyperlink" Target="https://library.mededtech.ru/rest/documents/ISBN9785970453186/?anchor=list_item_n5277q#list_item_n5277q" TargetMode="External"/><Relationship Id="rId46" Type="http://schemas.openxmlformats.org/officeDocument/2006/relationships/hyperlink" Target="https://library.mededtech.ru/rest/documents/ISBN9785970453186/?anchor=paragraph_ca3rm3#paragraph_ca3rm3" TargetMode="External"/><Relationship Id="rId47" Type="http://schemas.openxmlformats.org/officeDocument/2006/relationships/hyperlink" Target="https://library.mededtech.ru/rest/documents/ISBN9785970453186/?anchor=paragraph_t5bb0b#paragraph_t5bb0b" TargetMode="External"/><Relationship Id="rId48" Type="http://schemas.openxmlformats.org/officeDocument/2006/relationships/hyperlink" Target="https://library.mededtech.ru/rest/documents/ISBN9785970453186/?anchor=paragraph_ahhobl#paragraph_ahhobl" TargetMode="External"/><Relationship Id="rId49" Type="http://schemas.openxmlformats.org/officeDocument/2006/relationships/hyperlink" Target="https://library.mededtech.ru/rest/documents/ISBN9785970453186/?anchor=paragraph_ncqg5i#paragraph_ncqg5i" TargetMode="External"/><Relationship Id="rId50" Type="http://schemas.openxmlformats.org/officeDocument/2006/relationships/hyperlink" Target="https://library.mededtech.ru/rest/documents/ISBN9785970453186/?anchor=list_item_68hpbv#list_item_68hpbv" TargetMode="External"/><Relationship Id="rId51" Type="http://schemas.openxmlformats.org/officeDocument/2006/relationships/hyperlink" Target="https://library.mededtech.ru/rest/documents/ISBN9785970453186/?anchor=list_item_f6h1pv#list_item_f6h1pv" TargetMode="External"/><Relationship Id="rId52" Type="http://schemas.openxmlformats.org/officeDocument/2006/relationships/hyperlink" Target="https://library.mededtech.ru/rest/documents/ISBN9785970453186/?anchor=paragraph_3sb423#paragraph_3sb423" TargetMode="External"/><Relationship Id="rId53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